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B23" w:rsidRPr="0049360E" w:rsidRDefault="0049360E" w:rsidP="0049360E">
      <w:pPr>
        <w:spacing w:line="480" w:lineRule="auto"/>
        <w:rPr>
          <w:rFonts w:ascii="Times New Roman" w:hAnsi="Times New Roman" w:cs="Times New Roman"/>
          <w:sz w:val="24"/>
          <w:szCs w:val="24"/>
        </w:rPr>
      </w:pPr>
      <w:r w:rsidRPr="0049360E">
        <w:rPr>
          <w:rFonts w:ascii="Times New Roman" w:hAnsi="Times New Roman" w:cs="Times New Roman"/>
          <w:sz w:val="24"/>
          <w:szCs w:val="24"/>
        </w:rPr>
        <w:t>Name</w:t>
      </w:r>
    </w:p>
    <w:p w:rsidR="0049360E" w:rsidRPr="0049360E" w:rsidRDefault="0049360E" w:rsidP="0049360E">
      <w:pPr>
        <w:spacing w:line="480" w:lineRule="auto"/>
        <w:rPr>
          <w:rFonts w:ascii="Times New Roman" w:hAnsi="Times New Roman" w:cs="Times New Roman"/>
          <w:sz w:val="24"/>
          <w:szCs w:val="24"/>
        </w:rPr>
      </w:pPr>
      <w:r w:rsidRPr="0049360E">
        <w:rPr>
          <w:rFonts w:ascii="Times New Roman" w:hAnsi="Times New Roman" w:cs="Times New Roman"/>
          <w:sz w:val="24"/>
          <w:szCs w:val="24"/>
        </w:rPr>
        <w:t>Instructor`s name</w:t>
      </w:r>
    </w:p>
    <w:p w:rsidR="0049360E" w:rsidRPr="0049360E" w:rsidRDefault="0049360E" w:rsidP="0049360E">
      <w:pPr>
        <w:spacing w:line="480" w:lineRule="auto"/>
        <w:rPr>
          <w:rFonts w:ascii="Times New Roman" w:hAnsi="Times New Roman" w:cs="Times New Roman"/>
          <w:sz w:val="24"/>
          <w:szCs w:val="24"/>
        </w:rPr>
      </w:pPr>
      <w:r w:rsidRPr="0049360E">
        <w:rPr>
          <w:rFonts w:ascii="Times New Roman" w:hAnsi="Times New Roman" w:cs="Times New Roman"/>
          <w:sz w:val="24"/>
          <w:szCs w:val="24"/>
        </w:rPr>
        <w:t>Course</w:t>
      </w:r>
    </w:p>
    <w:p w:rsidR="0049360E" w:rsidRDefault="0049360E" w:rsidP="0049360E">
      <w:pPr>
        <w:tabs>
          <w:tab w:val="left" w:pos="1485"/>
        </w:tabs>
        <w:spacing w:line="480" w:lineRule="auto"/>
        <w:rPr>
          <w:rFonts w:ascii="Times New Roman" w:hAnsi="Times New Roman" w:cs="Times New Roman"/>
          <w:sz w:val="24"/>
          <w:szCs w:val="24"/>
        </w:rPr>
      </w:pPr>
      <w:r w:rsidRPr="0049360E">
        <w:rPr>
          <w:rFonts w:ascii="Times New Roman" w:hAnsi="Times New Roman" w:cs="Times New Roman"/>
          <w:sz w:val="24"/>
          <w:szCs w:val="24"/>
        </w:rPr>
        <w:t>Date</w:t>
      </w:r>
      <w:r>
        <w:rPr>
          <w:rFonts w:ascii="Times New Roman" w:hAnsi="Times New Roman" w:cs="Times New Roman"/>
          <w:sz w:val="24"/>
          <w:szCs w:val="24"/>
        </w:rPr>
        <w:tab/>
      </w:r>
    </w:p>
    <w:p w:rsidR="00BE6302" w:rsidRPr="00BE6302" w:rsidRDefault="00BE6302" w:rsidP="00BE6302">
      <w:pPr>
        <w:tabs>
          <w:tab w:val="left" w:pos="1485"/>
        </w:tabs>
        <w:spacing w:line="480" w:lineRule="auto"/>
        <w:rPr>
          <w:rFonts w:ascii="Times New Roman" w:hAnsi="Times New Roman" w:cs="Times New Roman"/>
          <w:sz w:val="24"/>
          <w:szCs w:val="24"/>
        </w:rPr>
      </w:pPr>
    </w:p>
    <w:p w:rsidR="00BE6302" w:rsidRPr="00487B05" w:rsidRDefault="00BE6302" w:rsidP="00BE6302">
      <w:pPr>
        <w:tabs>
          <w:tab w:val="left" w:pos="1485"/>
        </w:tabs>
        <w:spacing w:line="480" w:lineRule="auto"/>
        <w:jc w:val="center"/>
        <w:rPr>
          <w:rFonts w:ascii="Times New Roman" w:hAnsi="Times New Roman" w:cs="Times New Roman"/>
          <w:b/>
          <w:sz w:val="24"/>
          <w:szCs w:val="24"/>
        </w:rPr>
      </w:pPr>
      <w:r w:rsidRPr="00487B05">
        <w:rPr>
          <w:rFonts w:ascii="Times New Roman" w:hAnsi="Times New Roman" w:cs="Times New Roman"/>
          <w:b/>
          <w:sz w:val="24"/>
          <w:szCs w:val="24"/>
        </w:rPr>
        <w:t>California Senate Bill 358</w:t>
      </w:r>
    </w:p>
    <w:p w:rsidR="00BE6302" w:rsidRPr="00487B05" w:rsidRDefault="00BE6302" w:rsidP="00BE6302">
      <w:pPr>
        <w:tabs>
          <w:tab w:val="left" w:pos="1485"/>
        </w:tabs>
        <w:spacing w:line="480" w:lineRule="auto"/>
        <w:rPr>
          <w:rFonts w:ascii="Times New Roman" w:hAnsi="Times New Roman" w:cs="Times New Roman"/>
          <w:b/>
          <w:sz w:val="24"/>
          <w:szCs w:val="24"/>
        </w:rPr>
      </w:pPr>
      <w:r w:rsidRPr="00487B05">
        <w:rPr>
          <w:rFonts w:ascii="Times New Roman" w:hAnsi="Times New Roman" w:cs="Times New Roman"/>
          <w:b/>
          <w:sz w:val="24"/>
          <w:szCs w:val="24"/>
        </w:rPr>
        <w:t>Introduction</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Wage disparity has been a national concern for quite some time, dating back to 1944. Although California has performed better than the national average of 78 cents of earnings to the dollar by women, the trend has been on an upward spiral and thus raising concern for an address. Women lose more than $33 billion annually because of this wage differential that stood at 16 cents as at 2015. The situation is exacerbated in the case of Latina women who earn only an average of 44 cents to every dollar earned by men, yet they are citizens under the jurisdiction of the State of California. The Senate Bill No. 358 was formulated therefore to provide correctional platforms to this trend with an aim to achieve equity by eliminating this differential.  Conditions of employment and wage differential are what the bill sets to address.</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 xml:space="preserve">Wage differentials do exist because of the furtive engagements and conditions by the majority of employers with the malicious and villain aim of sweeping things under the carpet and avert stirring debates that may otherwise bring to the fore these issues. As such, the bill will prohibit employers prohibiting employees from engaging in disclosures and discussions with fellow employees regarding conditions of employment and monetary compensations. Additionally, the </w:t>
      </w:r>
      <w:r w:rsidRPr="00BE6302">
        <w:rPr>
          <w:rFonts w:ascii="Times New Roman" w:hAnsi="Times New Roman" w:cs="Times New Roman"/>
          <w:sz w:val="24"/>
          <w:szCs w:val="24"/>
        </w:rPr>
        <w:lastRenderedPageBreak/>
        <w:t>law sets a transparent platform for employees to participate in such talks with the objective of seeking redress of their grievances and in the pursuit of the enforcement of rights as enshrined by the provisions of this bill. Lack of information or limited access to the same is what perpetuates and sets the reverberations in an even more pronounced intensity. As such, to cure this problem, the bill proposes the adjustment of the period of record keeping. Employees would, therefore, keep the records pertaining employment including but not limited to salaries and wages as well as job classifications for three years, as opposed to the initial two years.</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 xml:space="preserve"> The law further restrains employers from discriminating against employees who engage in such disclosures as highlighted. Contravention of this provision will see to it that the employee who affected by such discrimination legally seeks for reinstatement to their position and compensation of accrued interest and damages arising from such an action.</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It is expected that employers pay salaries and similar compensations equally with no regard to and special treatment due to sex. The bill under this provision demands that no employer should pay salaries based in a differential manner unless if such differential is based on one or more of these factors; seniority system, merit system and a system that is tied earnings to quality and quantity of production. Additional factors such as advanced training that would qualify and justify a differential system of remuneration would only be so if there is proof that such a factor is not in fact fronted on the grounds of sex.  Furthermore, it should be strictly job-related and arises as a matter of business necessity where there is again sufficient and undoubted proof that no business practice exists as an alternative to pursue the legitimate business purpose that the factor was intended to address. All the factors set aside as exceptions for wage differentials should be applied reasonably and of course on all, and not part of, the differentials as requested and presented by the employer.</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lastRenderedPageBreak/>
        <w:t xml:space="preserve">The sensitivity and gravity of this issue are such that there should be an agency or authority that will be in charge of oversight of the implementation and enforcement of these provisions. The Division of Labor Standards Enforcement shall carry out this task where any findings of violations of the provisions will lead to supervision for payment of wages and interest that will have accrued thereby and unpaid to the aggrieved employee. In this provision, the implication of acceptance of full payment by the employee will be a waiver to the undoing of the employer. </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Confidentiality means a lot during the investigation to determine violations by employers. Any employee has a right to report to the division any form of the violation including the receipt of a wage that is below to what the employee is entitled. The complaint will break the ground for investigations, with confidentiality of the complainant treated with utmost attention until validity of the same is determined. Compensation of the damages and interest would be enforced as a form of penalty. Suffice it to say; the division will prosecute on behalf of the employee or a group that faces a similar issue to recover salaries and related liquidated damages unless otherwise restrained and requested by the employee or group in question.</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 xml:space="preserve">The law aims at first tracking and expedition of justice for victims and of course to eliminate backlogs that may jeopardize the pursuit of the same. In this regard, the bill proposes in the direction that a civil action for recovery of damages and similar appease should not commence later than three years from the date of the course of action or occurrence of the violation. It is worth noting and plausible for that matter that, while the bill targets explicitly in its operation justice for employees, there is a special provision that handles the interest and welfare of employers. In this regard, if an employee pursues two avenues of compensation through the division and section 206 of the title of the United States Code that may lead to a salary higher </w:t>
      </w:r>
      <w:r w:rsidRPr="00BE6302">
        <w:rPr>
          <w:rFonts w:ascii="Times New Roman" w:hAnsi="Times New Roman" w:cs="Times New Roman"/>
          <w:sz w:val="24"/>
          <w:szCs w:val="24"/>
        </w:rPr>
        <w:lastRenderedPageBreak/>
        <w:t>than the case would have been in single division-avenue pursuit, the lesser of the amounts received would be surrendered to the employer.</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Following the prohibition of employers on prevailing upon employees to exercise restraint in disclosures regarding differentials, the bill offers a reprieve to employees by illegalizing discrimination and alienation of the employees following such an engagement.  Additionally, no retaliation against wage disclosures and consultation on the pursuit of rights as provided for by this bill are allowed or anticipated. Should there be such discrimination and estrangement, the affected employee will pursue legal recourse and redress through a civil action in pursuit of recovery of reinstatement and compensation for lost wages as well as accrued interest therein.</w:t>
      </w:r>
    </w:p>
    <w:p w:rsidR="00BE6302" w:rsidRPr="00BE6302" w:rsidRDefault="00BE6302" w:rsidP="00BE6302">
      <w:pPr>
        <w:tabs>
          <w:tab w:val="left" w:pos="1485"/>
        </w:tabs>
        <w:spacing w:line="480" w:lineRule="auto"/>
        <w:rPr>
          <w:rFonts w:ascii="Times New Roman" w:hAnsi="Times New Roman" w:cs="Times New Roman"/>
          <w:sz w:val="24"/>
          <w:szCs w:val="24"/>
        </w:rPr>
      </w:pPr>
      <w:r w:rsidRPr="00BE6302">
        <w:rPr>
          <w:rFonts w:ascii="Times New Roman" w:hAnsi="Times New Roman" w:cs="Times New Roman"/>
          <w:sz w:val="24"/>
          <w:szCs w:val="24"/>
        </w:rPr>
        <w:t>The implementation and enforcement of the provision of this bill would be such that any employee who receives a wage and salary that is less than what others on similar platforms are earning, the employee would be entitled to compensation from the employer. Such a receipt will constitute what would be the balance as would be calculated as well as the compulsion of the employee to cover the accrued interest and cater for the cost of the suit.</w:t>
      </w:r>
    </w:p>
    <w:p w:rsidR="00BE6302" w:rsidRPr="00BE6302" w:rsidRDefault="00BE6302" w:rsidP="00BE6302">
      <w:pPr>
        <w:tabs>
          <w:tab w:val="left" w:pos="1485"/>
        </w:tabs>
        <w:spacing w:line="480" w:lineRule="auto"/>
        <w:rPr>
          <w:rFonts w:ascii="Times New Roman" w:hAnsi="Times New Roman" w:cs="Times New Roman"/>
          <w:sz w:val="24"/>
          <w:szCs w:val="24"/>
        </w:rPr>
      </w:pPr>
    </w:p>
    <w:p w:rsidR="00BE6302" w:rsidRPr="00BE6302" w:rsidRDefault="00BE6302" w:rsidP="00BE6302">
      <w:pPr>
        <w:tabs>
          <w:tab w:val="left" w:pos="1485"/>
        </w:tabs>
        <w:spacing w:line="480" w:lineRule="auto"/>
        <w:rPr>
          <w:rFonts w:ascii="Times New Roman" w:hAnsi="Times New Roman" w:cs="Times New Roman"/>
          <w:sz w:val="24"/>
          <w:szCs w:val="24"/>
        </w:rPr>
      </w:pPr>
    </w:p>
    <w:p w:rsidR="00BE6302" w:rsidRPr="00BE6302" w:rsidRDefault="00BE6302" w:rsidP="00BE6302">
      <w:pPr>
        <w:tabs>
          <w:tab w:val="left" w:pos="1485"/>
        </w:tabs>
        <w:spacing w:line="480" w:lineRule="auto"/>
        <w:rPr>
          <w:rFonts w:ascii="Times New Roman" w:hAnsi="Times New Roman" w:cs="Times New Roman"/>
          <w:sz w:val="24"/>
          <w:szCs w:val="24"/>
        </w:rPr>
      </w:pPr>
    </w:p>
    <w:p w:rsidR="00BE6302" w:rsidRPr="00BE6302" w:rsidRDefault="00BE6302" w:rsidP="00BE6302">
      <w:pPr>
        <w:tabs>
          <w:tab w:val="left" w:pos="1485"/>
        </w:tabs>
        <w:spacing w:line="480" w:lineRule="auto"/>
        <w:rPr>
          <w:rFonts w:ascii="Times New Roman" w:hAnsi="Times New Roman" w:cs="Times New Roman"/>
          <w:sz w:val="24"/>
          <w:szCs w:val="24"/>
        </w:rPr>
      </w:pPr>
    </w:p>
    <w:p w:rsidR="00BE6302" w:rsidRPr="00BE6302" w:rsidRDefault="00BE6302" w:rsidP="00BE6302">
      <w:pPr>
        <w:tabs>
          <w:tab w:val="left" w:pos="1485"/>
        </w:tabs>
        <w:spacing w:line="480" w:lineRule="auto"/>
        <w:rPr>
          <w:rFonts w:ascii="Times New Roman" w:hAnsi="Times New Roman" w:cs="Times New Roman"/>
          <w:sz w:val="24"/>
          <w:szCs w:val="24"/>
        </w:rPr>
      </w:pPr>
    </w:p>
    <w:p w:rsidR="00BE6302" w:rsidRPr="00BE6302" w:rsidRDefault="00BE6302" w:rsidP="00BE6302">
      <w:pPr>
        <w:tabs>
          <w:tab w:val="left" w:pos="1485"/>
        </w:tabs>
        <w:spacing w:line="480" w:lineRule="auto"/>
        <w:rPr>
          <w:rFonts w:ascii="Times New Roman" w:hAnsi="Times New Roman" w:cs="Times New Roman"/>
          <w:sz w:val="24"/>
          <w:szCs w:val="24"/>
        </w:rPr>
      </w:pPr>
    </w:p>
    <w:p w:rsidR="00BE6302" w:rsidRDefault="007864B8" w:rsidP="00BE6302">
      <w:pPr>
        <w:tabs>
          <w:tab w:val="left" w:pos="148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Cited </w:t>
      </w:r>
    </w:p>
    <w:p w:rsidR="00BE6302" w:rsidRPr="00BE6302" w:rsidRDefault="0037702B" w:rsidP="00BE6302">
      <w:pPr>
        <w:tabs>
          <w:tab w:val="left" w:pos="1485"/>
        </w:tabs>
        <w:spacing w:line="480" w:lineRule="auto"/>
        <w:rPr>
          <w:rFonts w:ascii="Times New Roman" w:hAnsi="Times New Roman" w:cs="Times New Roman"/>
          <w:sz w:val="24"/>
          <w:szCs w:val="24"/>
        </w:rPr>
      </w:pPr>
      <w:hyperlink r:id="rId6" w:tgtFrame="_blank" w:history="1">
        <w:r w:rsidR="00674886">
          <w:rPr>
            <w:rStyle w:val="Hyperlink"/>
            <w:rFonts w:ascii="Helvetica" w:hAnsi="Helvetica" w:cs="Helvetica"/>
            <w:color w:val="1155CC"/>
            <w:sz w:val="21"/>
            <w:szCs w:val="21"/>
          </w:rPr>
          <w:t>https://leginfo.legislature.ca.gov/faces/billNavClient.xhtml?bill_id=201520160SB358</w:t>
        </w:r>
      </w:hyperlink>
      <w:bookmarkStart w:id="0" w:name="_GoBack"/>
      <w:bookmarkEnd w:id="0"/>
    </w:p>
    <w:p w:rsidR="0049360E" w:rsidRPr="0049360E" w:rsidRDefault="0049360E" w:rsidP="0049360E">
      <w:pPr>
        <w:tabs>
          <w:tab w:val="left" w:pos="1485"/>
        </w:tabs>
        <w:spacing w:line="480" w:lineRule="auto"/>
        <w:rPr>
          <w:rFonts w:ascii="Times New Roman" w:hAnsi="Times New Roman" w:cs="Times New Roman"/>
          <w:sz w:val="24"/>
          <w:szCs w:val="24"/>
        </w:rPr>
      </w:pPr>
    </w:p>
    <w:p w:rsidR="0049360E" w:rsidRDefault="0049360E"/>
    <w:sectPr w:rsidR="0049360E" w:rsidSect="0037702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009" w:rsidRDefault="00525009" w:rsidP="0049360E">
      <w:pPr>
        <w:spacing w:after="0" w:line="240" w:lineRule="auto"/>
      </w:pPr>
      <w:r>
        <w:separator/>
      </w:r>
    </w:p>
  </w:endnote>
  <w:endnote w:type="continuationSeparator" w:id="0">
    <w:p w:rsidR="00525009" w:rsidRDefault="00525009" w:rsidP="004936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009" w:rsidRDefault="00525009" w:rsidP="0049360E">
      <w:pPr>
        <w:spacing w:after="0" w:line="240" w:lineRule="auto"/>
      </w:pPr>
      <w:r>
        <w:separator/>
      </w:r>
    </w:p>
  </w:footnote>
  <w:footnote w:type="continuationSeparator" w:id="0">
    <w:p w:rsidR="00525009" w:rsidRDefault="00525009" w:rsidP="004936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3702862"/>
      <w:docPartObj>
        <w:docPartGallery w:val="Page Numbers (Top of Page)"/>
        <w:docPartUnique/>
      </w:docPartObj>
    </w:sdtPr>
    <w:sdtEndPr>
      <w:rPr>
        <w:rFonts w:ascii="Times New Roman" w:hAnsi="Times New Roman" w:cs="Times New Roman"/>
        <w:noProof/>
        <w:sz w:val="24"/>
        <w:szCs w:val="24"/>
      </w:rPr>
    </w:sdtEndPr>
    <w:sdtContent>
      <w:p w:rsidR="0049360E" w:rsidRPr="0049360E" w:rsidRDefault="0049360E">
        <w:pPr>
          <w:pStyle w:val="Header"/>
          <w:jc w:val="right"/>
          <w:rPr>
            <w:rFonts w:ascii="Times New Roman" w:hAnsi="Times New Roman" w:cs="Times New Roman"/>
            <w:sz w:val="24"/>
            <w:szCs w:val="24"/>
          </w:rPr>
        </w:pPr>
        <w:r w:rsidRPr="0049360E">
          <w:rPr>
            <w:rFonts w:ascii="Times New Roman" w:hAnsi="Times New Roman" w:cs="Times New Roman"/>
            <w:sz w:val="24"/>
            <w:szCs w:val="24"/>
          </w:rPr>
          <w:t xml:space="preserve">Surname </w:t>
        </w:r>
        <w:r w:rsidR="0037702B" w:rsidRPr="0049360E">
          <w:rPr>
            <w:rFonts w:ascii="Times New Roman" w:hAnsi="Times New Roman" w:cs="Times New Roman"/>
            <w:sz w:val="24"/>
            <w:szCs w:val="24"/>
          </w:rPr>
          <w:fldChar w:fldCharType="begin"/>
        </w:r>
        <w:r w:rsidRPr="0049360E">
          <w:rPr>
            <w:rFonts w:ascii="Times New Roman" w:hAnsi="Times New Roman" w:cs="Times New Roman"/>
            <w:sz w:val="24"/>
            <w:szCs w:val="24"/>
          </w:rPr>
          <w:instrText xml:space="preserve"> PAGE   \* MERGEFORMAT </w:instrText>
        </w:r>
        <w:r w:rsidR="0037702B" w:rsidRPr="0049360E">
          <w:rPr>
            <w:rFonts w:ascii="Times New Roman" w:hAnsi="Times New Roman" w:cs="Times New Roman"/>
            <w:sz w:val="24"/>
            <w:szCs w:val="24"/>
          </w:rPr>
          <w:fldChar w:fldCharType="separate"/>
        </w:r>
        <w:r w:rsidR="00487B05">
          <w:rPr>
            <w:rFonts w:ascii="Times New Roman" w:hAnsi="Times New Roman" w:cs="Times New Roman"/>
            <w:noProof/>
            <w:sz w:val="24"/>
            <w:szCs w:val="24"/>
          </w:rPr>
          <w:t>4</w:t>
        </w:r>
        <w:r w:rsidR="0037702B" w:rsidRPr="0049360E">
          <w:rPr>
            <w:rFonts w:ascii="Times New Roman" w:hAnsi="Times New Roman" w:cs="Times New Roman"/>
            <w:noProof/>
            <w:sz w:val="24"/>
            <w:szCs w:val="24"/>
          </w:rPr>
          <w:fldChar w:fldCharType="end"/>
        </w:r>
      </w:p>
    </w:sdtContent>
  </w:sdt>
  <w:p w:rsidR="0049360E" w:rsidRDefault="0049360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360E"/>
    <w:rsid w:val="000909B5"/>
    <w:rsid w:val="0037702B"/>
    <w:rsid w:val="00487B05"/>
    <w:rsid w:val="0049360E"/>
    <w:rsid w:val="00525009"/>
    <w:rsid w:val="00532935"/>
    <w:rsid w:val="00674886"/>
    <w:rsid w:val="007864B8"/>
    <w:rsid w:val="00851B23"/>
    <w:rsid w:val="00925371"/>
    <w:rsid w:val="00BE63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60E"/>
  </w:style>
  <w:style w:type="paragraph" w:styleId="Footer">
    <w:name w:val="footer"/>
    <w:basedOn w:val="Normal"/>
    <w:link w:val="FooterChar"/>
    <w:uiPriority w:val="99"/>
    <w:unhideWhenUsed/>
    <w:rsid w:val="00493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60E"/>
  </w:style>
  <w:style w:type="character" w:styleId="Hyperlink">
    <w:name w:val="Hyperlink"/>
    <w:basedOn w:val="DefaultParagraphFont"/>
    <w:uiPriority w:val="99"/>
    <w:semiHidden/>
    <w:unhideWhenUsed/>
    <w:rsid w:val="0067488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3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60E"/>
  </w:style>
  <w:style w:type="paragraph" w:styleId="Footer">
    <w:name w:val="footer"/>
    <w:basedOn w:val="Normal"/>
    <w:link w:val="FooterChar"/>
    <w:uiPriority w:val="99"/>
    <w:unhideWhenUsed/>
    <w:rsid w:val="00493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60E"/>
  </w:style>
  <w:style w:type="character" w:styleId="Hyperlink">
    <w:name w:val="Hyperlink"/>
    <w:basedOn w:val="DefaultParagraphFont"/>
    <w:uiPriority w:val="99"/>
    <w:semiHidden/>
    <w:unhideWhenUsed/>
    <w:rsid w:val="0067488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ginfo.legislature.ca.gov/faces/billNavClient.xhtml?bill_id=201520160SB358"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1047</Words>
  <Characters>5973</Characters>
  <Application>Microsoft Office Word</Application>
  <DocSecurity>0</DocSecurity>
  <Lines>49</Lines>
  <Paragraphs>14</Paragraphs>
  <ScaleCrop>false</ScaleCrop>
  <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2018-03-19T20:48:00Z</dcterms:created>
  <dcterms:modified xsi:type="dcterms:W3CDTF">2018-03-19T20:48:00Z</dcterms:modified>
</cp:coreProperties>
</file>